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16"/>
          <w:szCs w:val="16"/>
        </w:rPr>
        <w:t>Правлением ППК «Фонд развития территорий» приняты решения о перечислении четырем субъектам РФ для переселения граждан из аварийного жилья 2,01 млрд. рублей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8"/>
          <w:szCs w:val="18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12 мая 2022 года в рамках реализации федерального проекта «Обеспечение устойчивого сокращения непригодного для проживания жилищного фонда» правлением публично-правовой компании «Фонд развития территорий»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16"/>
          <w:szCs w:val="16"/>
        </w:rPr>
        <w:t>- в соответствии с представленными Республикой Башкортостан, Красноярским краем, Владимирской и Челябинской областями реестрами контрактов на приобретение квартир для переселения граждан из аварийного жилья, признанного таковым до 1 января 2017 года, одобрено перечисление 2,01 млрд. рублей.</w:t>
      </w:r>
      <w:proofErr w:type="gramEnd"/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1F497D"/>
          <w:sz w:val="16"/>
          <w:szCs w:val="16"/>
        </w:rPr>
        <w:t>Таким образом, по состоянию на 12 мая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230,93 млрд. рублей, в том числе:</w:t>
      </w:r>
      <w:proofErr w:type="gramEnd"/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— в рамках этапа 2019 – 2020 годов программы переселения направлено 34,41 млрд. рублей;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— в рамках этапа 2020 – 2021 годов программы переселения направлено 44,67 млрд. рублей;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— в рамках этапа 2021 – 2022 годов программы переселения направлено 61,72 млрд. рублей;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— в рамках этапа 2022 – 2023 годов программы переселения направлено 73,45 млрд. рублей;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— в рамках этапа 2023 – 2024 годов программы переселения направлено 16,69 млрд. рублей.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 xml:space="preserve">- Принятый Правительством РФ комплекс мер способствует стабилизации работы строительной отрасли. Темпы реализации программы расселения аварийного жилищного фонда в регионах сохраняются на уровне прошлого года. Вызовы, с которыми пришлось столкнуться, ставят новые задачи, открывают новые возможности и направления развития. </w:t>
      </w:r>
      <w:proofErr w:type="gramStart"/>
      <w:r>
        <w:rPr>
          <w:rFonts w:ascii="Calibri" w:hAnsi="Calibri" w:cs="Calibri"/>
          <w:color w:val="1F497D"/>
          <w:sz w:val="16"/>
          <w:szCs w:val="16"/>
        </w:rPr>
        <w:t>В свою очередь Фонд ЖКХ оказывает финансовую поддержку субъектам РФ, которые нацелены на досрочное завершение программных мероприятий, в объеме, предусмотренном федеральным проектом «Обеспечение устойчивого сокращения непригодного для проживания жилищного фонда», в рамках механизма ускоренного финансирования.</w:t>
      </w:r>
      <w:proofErr w:type="gramEnd"/>
      <w:r>
        <w:rPr>
          <w:rFonts w:ascii="Calibri" w:hAnsi="Calibri" w:cs="Calibri"/>
          <w:color w:val="1F497D"/>
          <w:sz w:val="16"/>
          <w:szCs w:val="16"/>
        </w:rPr>
        <w:t xml:space="preserve"> Выполнение программы опережающими темпами позволит субъектам РФ быстрее приступить к расселению жилищного фонда, признанного непригодным для проживания после 1 января 2017 года,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1F497D"/>
          <w:sz w:val="16"/>
          <w:szCs w:val="16"/>
        </w:rPr>
        <w:t>Цицин</w:t>
      </w:r>
      <w:proofErr w:type="spellEnd"/>
      <w:r>
        <w:rPr>
          <w:rFonts w:ascii="Calibri" w:hAnsi="Calibri" w:cs="Calibri"/>
          <w:color w:val="1F497D"/>
          <w:sz w:val="16"/>
          <w:szCs w:val="16"/>
        </w:rPr>
        <w:t>.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1F497D"/>
          <w:sz w:val="16"/>
          <w:szCs w:val="16"/>
        </w:rPr>
        <w:t>2019-2020</w:t>
      </w:r>
      <w:r>
        <w:rPr>
          <w:rFonts w:ascii="Calibri" w:hAnsi="Calibri" w:cs="Calibri"/>
          <w:color w:val="1F497D"/>
          <w:sz w:val="16"/>
          <w:szCs w:val="16"/>
        </w:rPr>
        <w:t>, </w:t>
      </w:r>
      <w:r>
        <w:rPr>
          <w:rStyle w:val="wmi-callto"/>
          <w:rFonts w:ascii="Calibri" w:hAnsi="Calibri" w:cs="Calibri"/>
          <w:color w:val="1F497D"/>
          <w:sz w:val="16"/>
          <w:szCs w:val="16"/>
        </w:rPr>
        <w:t>2020-2021</w:t>
      </w:r>
      <w:r>
        <w:rPr>
          <w:rFonts w:ascii="Calibri" w:hAnsi="Calibri" w:cs="Calibri"/>
          <w:color w:val="1F497D"/>
          <w:sz w:val="16"/>
          <w:szCs w:val="16"/>
        </w:rPr>
        <w:t>, </w:t>
      </w:r>
      <w:r>
        <w:rPr>
          <w:rStyle w:val="wmi-callto"/>
          <w:rFonts w:ascii="Calibri" w:hAnsi="Calibri" w:cs="Calibri"/>
          <w:color w:val="1F497D"/>
          <w:sz w:val="16"/>
          <w:szCs w:val="16"/>
        </w:rPr>
        <w:t>2021-2022</w:t>
      </w:r>
      <w:r>
        <w:rPr>
          <w:rFonts w:ascii="Calibri" w:hAnsi="Calibri" w:cs="Calibri"/>
          <w:color w:val="1F497D"/>
          <w:sz w:val="16"/>
          <w:szCs w:val="16"/>
        </w:rPr>
        <w:t>, </w:t>
      </w:r>
      <w:r>
        <w:rPr>
          <w:rStyle w:val="wmi-callto"/>
          <w:rFonts w:ascii="Calibri" w:hAnsi="Calibri" w:cs="Calibri"/>
          <w:color w:val="1F497D"/>
          <w:sz w:val="16"/>
          <w:szCs w:val="16"/>
        </w:rPr>
        <w:t>2022-2023</w:t>
      </w:r>
      <w:r>
        <w:rPr>
          <w:rFonts w:ascii="Calibri" w:hAnsi="Calibri" w:cs="Calibri"/>
          <w:color w:val="1F497D"/>
          <w:sz w:val="16"/>
          <w:szCs w:val="16"/>
        </w:rPr>
        <w:t> и </w:t>
      </w:r>
      <w:r>
        <w:rPr>
          <w:rStyle w:val="wmi-callto"/>
          <w:rFonts w:ascii="Calibri" w:hAnsi="Calibri" w:cs="Calibri"/>
          <w:color w:val="1F497D"/>
          <w:sz w:val="16"/>
          <w:szCs w:val="16"/>
        </w:rPr>
        <w:t>2023-2024</w:t>
      </w:r>
      <w:r>
        <w:rPr>
          <w:rFonts w:ascii="Calibri" w:hAnsi="Calibri" w:cs="Calibri"/>
          <w:color w:val="1F497D"/>
          <w:sz w:val="16"/>
          <w:szCs w:val="16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1F497D"/>
          <w:sz w:val="16"/>
          <w:szCs w:val="16"/>
        </w:rPr>
        <w:t>инфографике</w:t>
      </w:r>
      <w:proofErr w:type="spellEnd"/>
      <w:r>
        <w:rPr>
          <w:rFonts w:ascii="Calibri" w:hAnsi="Calibri" w:cs="Calibri"/>
          <w:color w:val="1F497D"/>
          <w:sz w:val="16"/>
          <w:szCs w:val="16"/>
        </w:rPr>
        <w:t>, разработанной Фондом ЖКХ.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https://fondgkh.ru/news/pravleniem-ppk-fond-razvitiya-territoriy-prinyaty-resheniya-o-perechislenii-chetyrem-subektam-rf-dlya-pereseleniya-grazhdan-iz-avariynogo-zhilya-2-01-mlrd-rubley/</w:t>
        </w:r>
      </w:hyperlink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051D8" w:rsidRDefault="00A051D8" w:rsidP="00A051D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21EF" w:rsidRDefault="00A051D8"/>
    <w:sectPr w:rsidR="007C21EF" w:rsidSect="00A4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51D8"/>
    <w:rsid w:val="000B0C82"/>
    <w:rsid w:val="001648A8"/>
    <w:rsid w:val="00A051D8"/>
    <w:rsid w:val="00A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051D8"/>
  </w:style>
  <w:style w:type="character" w:styleId="a3">
    <w:name w:val="Hyperlink"/>
    <w:basedOn w:val="a0"/>
    <w:uiPriority w:val="99"/>
    <w:semiHidden/>
    <w:unhideWhenUsed/>
    <w:rsid w:val="00A05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ravleniem-ppk-fond-razvitiya-territoriy-prinyaty-resheniya-o-perechislenii-chetyrem-subektam-rf-dlya-pereseleniya-grazhdan-iz-avariynogo-zhilya-2-01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2022-05-13T06:17:00Z</dcterms:created>
  <dcterms:modified xsi:type="dcterms:W3CDTF">2022-05-13T06:18:00Z</dcterms:modified>
</cp:coreProperties>
</file>