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w:t>
      </w:r>
      <w:r w:rsidR="00792D3C">
        <w:rPr>
          <w:b/>
        </w:rPr>
        <w:t>9</w:t>
      </w:r>
      <w:r w:rsidR="005C3AD8">
        <w:rPr>
          <w:b/>
        </w:rPr>
        <w:t>3</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5C3AD8" w:rsidRPr="000E2B25">
              <w:t>Оформление согласия (отказа) на обмен жилыми помещениями, предоставленными по договорам социального найма в МО Дружногорское городское поселение</w:t>
            </w:r>
            <w:r w:rsidRPr="006163F2">
              <w:t>»</w:t>
            </w:r>
            <w:r w:rsidR="00340A23" w:rsidRPr="00EA71D1">
              <w:t xml:space="preserve"> </w:t>
            </w:r>
            <w:r w:rsidR="00193AEA">
              <w:rPr>
                <w:lang w:eastAsia="ru-RU"/>
              </w:rPr>
              <w:t xml:space="preserve">от </w:t>
            </w:r>
            <w:r w:rsidR="005C3AD8">
              <w:rPr>
                <w:lang w:eastAsia="ru-RU"/>
              </w:rPr>
              <w:t>16</w:t>
            </w:r>
            <w:r>
              <w:rPr>
                <w:lang w:eastAsia="ru-RU"/>
              </w:rPr>
              <w:t>.</w:t>
            </w:r>
            <w:r w:rsidR="005329A8">
              <w:rPr>
                <w:lang w:eastAsia="ru-RU"/>
              </w:rPr>
              <w:t>0</w:t>
            </w:r>
            <w:r w:rsidR="005C3AD8">
              <w:rPr>
                <w:lang w:eastAsia="ru-RU"/>
              </w:rPr>
              <w:t>2</w:t>
            </w:r>
            <w:r w:rsidR="00193AEA">
              <w:rPr>
                <w:lang w:eastAsia="ru-RU"/>
              </w:rPr>
              <w:t>.201</w:t>
            </w:r>
            <w:r w:rsidR="005C3AD8">
              <w:rPr>
                <w:lang w:eastAsia="ru-RU"/>
              </w:rPr>
              <w:t>7</w:t>
            </w:r>
            <w:r w:rsidR="00193AEA">
              <w:rPr>
                <w:lang w:eastAsia="ru-RU"/>
              </w:rPr>
              <w:t xml:space="preserve"> № </w:t>
            </w:r>
            <w:r w:rsidR="005C3AD8">
              <w:rPr>
                <w:lang w:eastAsia="ru-RU"/>
              </w:rPr>
              <w:t>43</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4227D5">
        <w:t>6</w:t>
      </w:r>
      <w:r w:rsidR="00A87C12">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817C2"/>
    <w:rsid w:val="00340A23"/>
    <w:rsid w:val="004227D5"/>
    <w:rsid w:val="004E1A3E"/>
    <w:rsid w:val="00502C5E"/>
    <w:rsid w:val="005329A8"/>
    <w:rsid w:val="005C3AD8"/>
    <w:rsid w:val="00605DA0"/>
    <w:rsid w:val="00646649"/>
    <w:rsid w:val="00766135"/>
    <w:rsid w:val="00792D3C"/>
    <w:rsid w:val="00875ED0"/>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923F0"/>
    <w:rsid w:val="00FA169C"/>
    <w:rsid w:val="00FD51B3"/>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2019-05-29T09:50:00Z</cp:lastPrinted>
  <dcterms:created xsi:type="dcterms:W3CDTF">2019-05-29T09:51:00Z</dcterms:created>
  <dcterms:modified xsi:type="dcterms:W3CDTF">2019-05-29T09:51:00Z</dcterms:modified>
</cp:coreProperties>
</file>