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0CC8" w14:textId="77777777" w:rsidR="0097384F" w:rsidRDefault="0097384F" w:rsidP="0097384F">
      <w:pPr>
        <w:pStyle w:val="1"/>
        <w:shd w:val="clear" w:color="auto" w:fill="FFFFFF"/>
        <w:spacing w:before="0" w:beforeAutospacing="0" w:after="0" w:afterAutospacing="0"/>
        <w:rPr>
          <w:rFonts w:ascii="PT Sans" w:hAnsi="PT Sans"/>
          <w:b w:val="0"/>
          <w:bCs w:val="0"/>
          <w:color w:val="000000"/>
        </w:rPr>
      </w:pPr>
      <w:r>
        <w:rPr>
          <w:rFonts w:ascii="PT Sans" w:hAnsi="PT Sans"/>
          <w:b w:val="0"/>
          <w:bCs w:val="0"/>
          <w:color w:val="000000"/>
        </w:rPr>
        <w:t>Незаконная вырубка леса - уголовная и административная ответственность</w:t>
      </w:r>
    </w:p>
    <w:p w14:paraId="1C87C3A8" w14:textId="6660FD0B"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В Российской Федерации процесс вырубки леса отрегулирован на законодательном уровне. Незаконная вырубка леса, в зависимости от размера причиненного ущерба, влечет административную или уголовную ответственность.   При этом, незаконная вырубка - то повреждение деревьев до состояния прекращения их роста при отсутствии соответствующей разрешительной документации. К незаконной вырубке леса, также можно отнести и незаконно выданные разрешения и вырубки, проведенные с нарушением сроков и несоблюдением указанных пород.</w:t>
      </w:r>
    </w:p>
    <w:p w14:paraId="1F69B350" w14:textId="2ED617EF"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В то же время, понятие незаконной вырубки относится не ко всем деревьям. К примеру, растительность на своем земельном участке вы можете спиливать безо всякой разрешительной документации, а то время как за деревья, находящиеся в муниципальной или государственной собственности (насаждения входящие в Гослесфонд; насаждения в парках, аллеях, деревья вдоль железных и автомобильных дорог), уже придется отвечать, вне зависимости от того, были они высажены человеком или выросли самостоятельно. К объектам незаконной вырубки также можно отнести деревья, находящиеся на территории сельхозугодий и лесопитомников. Таким образом, получение соответствующего разрешения, в случае необходимости вырубки дерева, находящегося на муниципальной или федеральной территории, является обязательным.</w:t>
      </w:r>
    </w:p>
    <w:p w14:paraId="3510CF24"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За незаконное уничтожение леса законодательством предусмотрена административная или уголовная ответственность.</w:t>
      </w:r>
    </w:p>
    <w:p w14:paraId="60E77211"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Так, в случае если сумма причиненного в результате незаконной вырубки ущерба превышает 5000 рублей, к нарушителям будут применены меры уголовной ответственности, которые четко обозначены в статье 260 Уголовного кодекса Российской Федерации.</w:t>
      </w:r>
    </w:p>
    <w:p w14:paraId="2A0FD5C9"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w:t>
      </w:r>
    </w:p>
    <w:p w14:paraId="3C89512B"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4"/>
          <w:rFonts w:ascii="inherit" w:hAnsi="inherit"/>
          <w:color w:val="000000"/>
        </w:rPr>
        <w:t>Статья 260 УК РФ. Незаконная рубка лесных насаждений.</w:t>
      </w:r>
    </w:p>
    <w:p w14:paraId="7AFBAD98"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1. Незаконная </w:t>
      </w:r>
      <w:hyperlink r:id="rId4" w:anchor="dst100039" w:history="1">
        <w:r>
          <w:rPr>
            <w:rStyle w:val="a6"/>
            <w:rFonts w:ascii="inherit" w:hAnsi="inherit"/>
            <w:i/>
            <w:iCs/>
            <w:color w:val="3579C0"/>
          </w:rPr>
          <w:t>рубка</w:t>
        </w:r>
      </w:hyperlink>
      <w:r>
        <w:rPr>
          <w:rStyle w:val="a5"/>
          <w:rFonts w:ascii="inherit" w:hAnsi="inherit"/>
          <w:color w:val="000000"/>
        </w:rPr>
        <w:t>, а равно </w:t>
      </w:r>
      <w:hyperlink r:id="rId5" w:anchor="dst100042" w:history="1">
        <w:r>
          <w:rPr>
            <w:rStyle w:val="a6"/>
            <w:rFonts w:ascii="inherit" w:hAnsi="inherit"/>
            <w:i/>
            <w:iCs/>
            <w:color w:val="3579C0"/>
          </w:rPr>
          <w:t>повреждение</w:t>
        </w:r>
      </w:hyperlink>
      <w:r>
        <w:rPr>
          <w:rStyle w:val="a5"/>
          <w:rFonts w:ascii="inherit" w:hAnsi="inherit"/>
          <w:color w:val="000000"/>
        </w:rPr>
        <w:t>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243F8B4B"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lastRenderedPageBreak/>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34CF8574"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183F7861"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а) группой лиц;</w:t>
      </w:r>
    </w:p>
    <w:p w14:paraId="55F9CE6B"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б) утратил силу.</w:t>
      </w:r>
    </w:p>
    <w:p w14:paraId="6B70CD03"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в) лицом с использованием своего служебного положения;</w:t>
      </w:r>
    </w:p>
    <w:p w14:paraId="6175ECBD"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г) в крупном размере, -</w:t>
      </w:r>
    </w:p>
    <w:p w14:paraId="04080A39"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37CCDFA"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3. Деяния, предусмотренные </w:t>
      </w:r>
      <w:hyperlink r:id="rId6" w:anchor="dst44" w:history="1">
        <w:r>
          <w:rPr>
            <w:rStyle w:val="a6"/>
            <w:rFonts w:ascii="inherit" w:hAnsi="inherit"/>
            <w:i/>
            <w:iCs/>
            <w:color w:val="3579C0"/>
          </w:rPr>
          <w:t>частями первой</w:t>
        </w:r>
      </w:hyperlink>
      <w:r>
        <w:rPr>
          <w:rStyle w:val="a5"/>
          <w:rFonts w:ascii="inherit" w:hAnsi="inherit"/>
          <w:color w:val="000000"/>
        </w:rPr>
        <w:t> или </w:t>
      </w:r>
      <w:hyperlink r:id="rId7" w:anchor="dst45" w:history="1">
        <w:r>
          <w:rPr>
            <w:rStyle w:val="a6"/>
            <w:rFonts w:ascii="inherit" w:hAnsi="inherit"/>
            <w:i/>
            <w:iCs/>
            <w:color w:val="3579C0"/>
          </w:rPr>
          <w:t>второй</w:t>
        </w:r>
      </w:hyperlink>
      <w:r>
        <w:rPr>
          <w:rStyle w:val="a5"/>
          <w:rFonts w:ascii="inherit" w:hAnsi="inherit"/>
          <w:color w:val="000000"/>
        </w:rPr>
        <w:t> настоящей статьи, совершенные в особо крупном размере, </w:t>
      </w:r>
      <w:hyperlink r:id="rId8" w:anchor="dst100044" w:history="1">
        <w:r>
          <w:rPr>
            <w:rStyle w:val="a6"/>
            <w:rFonts w:ascii="inherit" w:hAnsi="inherit"/>
            <w:i/>
            <w:iCs/>
            <w:color w:val="3579C0"/>
          </w:rPr>
          <w:t>группой</w:t>
        </w:r>
      </w:hyperlink>
      <w:r>
        <w:rPr>
          <w:rStyle w:val="a5"/>
          <w:rFonts w:ascii="inherit" w:hAnsi="inherit"/>
          <w:color w:val="000000"/>
        </w:rPr>
        <w:t> лиц по предварительному </w:t>
      </w:r>
      <w:hyperlink r:id="rId9" w:anchor="dst100146" w:history="1">
        <w:r>
          <w:rPr>
            <w:rStyle w:val="a6"/>
            <w:rFonts w:ascii="inherit" w:hAnsi="inherit"/>
            <w:i/>
            <w:iCs/>
            <w:color w:val="3579C0"/>
          </w:rPr>
          <w:t>сговору</w:t>
        </w:r>
      </w:hyperlink>
      <w:r>
        <w:rPr>
          <w:rStyle w:val="a5"/>
          <w:rFonts w:ascii="inherit" w:hAnsi="inherit"/>
          <w:color w:val="000000"/>
        </w:rPr>
        <w:t> или организованной группой, -</w:t>
      </w:r>
    </w:p>
    <w:p w14:paraId="25F6BC2D"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lastRenderedPageBreak/>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59DC159"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 </w:t>
      </w:r>
    </w:p>
    <w:p w14:paraId="100F3340"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Согласно примечания к ст.260 УК РФ, значительным размером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 Согласно им могут применяться штрафы в размере до 500 тыс. рублей. </w:t>
      </w:r>
    </w:p>
    <w:p w14:paraId="322DCF67"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За более мелкие правонарушения, совершенные при вырубке деревьев, предусмотрена административная ответственность, которая регламентируется подпунктом 28 статьи 8 Кодекса об административных правонарушениях Российской Федерации и подразумевает наложение штрафа в размере:</w:t>
      </w:r>
    </w:p>
    <w:p w14:paraId="227A8241"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граждан в размере от трех тысяч до четырех тысяч рублей;</w:t>
      </w:r>
    </w:p>
    <w:p w14:paraId="50E3B74D"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должностных лиц от двадцати тысяч до сорока тысяч рублей;</w:t>
      </w:r>
    </w:p>
    <w:p w14:paraId="4AFBEDF2"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юридических лиц от двухсот тысяч до трехсот тысяч рублей.</w:t>
      </w:r>
    </w:p>
    <w:p w14:paraId="3DE4491C"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В случаях, когда в процессе незаконной рубки были задействованы механизированные средства размеры штрафов существенно возрастают:</w:t>
      </w:r>
    </w:p>
    <w:p w14:paraId="79D59C19"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12D25EA0"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lastRenderedPageBreak/>
        <w:t>- на должностных лиц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2B84D733"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юридических лиц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22408669"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Кроме того, частью третьей статьи 8.28 КОАП РФ (незаконная рубка, повреждение лесных насаждений или самовольное выкапывание в лесах деревьев, кустарников, лиан)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0" w:anchor="dst1653" w:history="1">
        <w:r>
          <w:rPr>
            <w:rStyle w:val="a6"/>
            <w:rFonts w:ascii="inherit" w:hAnsi="inherit"/>
            <w:color w:val="3579C0"/>
          </w:rPr>
          <w:t>деяния</w:t>
        </w:r>
      </w:hyperlink>
      <w:r>
        <w:rPr>
          <w:rFonts w:ascii="inherit" w:hAnsi="inherit"/>
          <w:color w:val="000000"/>
        </w:rPr>
        <w:t>, также влечет наложение административного штрафа:</w:t>
      </w:r>
    </w:p>
    <w:p w14:paraId="20713D8B"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граждан в размере пяти тысяч рублей;</w:t>
      </w:r>
    </w:p>
    <w:p w14:paraId="3352B758"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должностных лиц пятидесяти тысяч рублей;</w:t>
      </w:r>
    </w:p>
    <w:p w14:paraId="07506724" w14:textId="77777777" w:rsidR="0097384F" w:rsidRDefault="0097384F" w:rsidP="0097384F">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юридических лиц от четырехсот тысяч до семисот тысяч рублей.</w:t>
      </w:r>
    </w:p>
    <w:p w14:paraId="2A4AA6CA" w14:textId="77777777" w:rsidR="0097384F" w:rsidRDefault="0097384F"/>
    <w:sectPr w:rsidR="00973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4F"/>
    <w:rsid w:val="0097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EBF5"/>
  <w15:chartTrackingRefBased/>
  <w15:docId w15:val="{C3E2D0FA-4568-4AFC-A4F3-755A24FB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84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7384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8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384F"/>
    <w:pPr>
      <w:spacing w:before="100" w:beforeAutospacing="1" w:after="100" w:afterAutospacing="1"/>
    </w:pPr>
  </w:style>
  <w:style w:type="character" w:styleId="a4">
    <w:name w:val="Strong"/>
    <w:basedOn w:val="a0"/>
    <w:uiPriority w:val="22"/>
    <w:qFormat/>
    <w:rsid w:val="0097384F"/>
    <w:rPr>
      <w:b/>
      <w:bCs/>
    </w:rPr>
  </w:style>
  <w:style w:type="character" w:styleId="a5">
    <w:name w:val="Emphasis"/>
    <w:basedOn w:val="a0"/>
    <w:uiPriority w:val="20"/>
    <w:qFormat/>
    <w:rsid w:val="0097384F"/>
    <w:rPr>
      <w:i/>
      <w:iCs/>
    </w:rPr>
  </w:style>
  <w:style w:type="character" w:styleId="a6">
    <w:name w:val="Hyperlink"/>
    <w:basedOn w:val="a0"/>
    <w:uiPriority w:val="99"/>
    <w:semiHidden/>
    <w:unhideWhenUsed/>
    <w:rsid w:val="00973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4599">
      <w:bodyDiv w:val="1"/>
      <w:marLeft w:val="0"/>
      <w:marRight w:val="0"/>
      <w:marTop w:val="0"/>
      <w:marBottom w:val="0"/>
      <w:divBdr>
        <w:top w:val="none" w:sz="0" w:space="0" w:color="auto"/>
        <w:left w:val="none" w:sz="0" w:space="0" w:color="auto"/>
        <w:bottom w:val="none" w:sz="0" w:space="0" w:color="auto"/>
        <w:right w:val="none" w:sz="0" w:space="0" w:color="auto"/>
      </w:divBdr>
      <w:divsChild>
        <w:div w:id="1670909580">
          <w:marLeft w:val="0"/>
          <w:marRight w:val="0"/>
          <w:marTop w:val="0"/>
          <w:marBottom w:val="0"/>
          <w:divBdr>
            <w:top w:val="none" w:sz="0" w:space="0" w:color="auto"/>
            <w:left w:val="none" w:sz="0" w:space="0" w:color="auto"/>
            <w:bottom w:val="none" w:sz="0" w:space="0" w:color="auto"/>
            <w:right w:val="none" w:sz="0" w:space="0" w:color="auto"/>
          </w:divBdr>
        </w:div>
        <w:div w:id="50601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6950/0000000000000000000000000000000000000000/" TargetMode="External"/><Relationship Id="rId3" Type="http://schemas.openxmlformats.org/officeDocument/2006/relationships/webSettings" Target="webSettings.xml"/><Relationship Id="rId7" Type="http://schemas.openxmlformats.org/officeDocument/2006/relationships/hyperlink" Target="http://www.consultant.ru/document/cons_doc_LAW_10699/490624f43c387af79d52a692eec50b9da2dfa44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490624f43c387af79d52a692eec50b9da2dfa44d/" TargetMode="External"/><Relationship Id="rId11" Type="http://schemas.openxmlformats.org/officeDocument/2006/relationships/fontTable" Target="fontTable.xml"/><Relationship Id="rId5" Type="http://schemas.openxmlformats.org/officeDocument/2006/relationships/hyperlink" Target="http://www.consultant.ru/document/cons_doc_LAW_136950/0000000000000000000000000000000000000000/" TargetMode="External"/><Relationship Id="rId10" Type="http://schemas.openxmlformats.org/officeDocument/2006/relationships/hyperlink" Target="http://www.consultant.ru/document/cons_doc_LAW_10699/9a6dce27f64ac1ebe43f62dc39f5d68f93d94803/" TargetMode="External"/><Relationship Id="rId4" Type="http://schemas.openxmlformats.org/officeDocument/2006/relationships/hyperlink" Target="http://www.consultant.ru/document/cons_doc_LAW_136950/0000000000000000000000000000000000000000/" TargetMode="External"/><Relationship Id="rId9" Type="http://schemas.openxmlformats.org/officeDocument/2006/relationships/hyperlink" Target="http://www.consultant.ru/document/cons_doc_LAW_136950/000000000000000000000000000000000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Игрь Васильевич</dc:creator>
  <cp:keywords/>
  <dc:description/>
  <cp:lastModifiedBy>Павлов Игрь Васильевич</cp:lastModifiedBy>
  <cp:revision>1</cp:revision>
  <dcterms:created xsi:type="dcterms:W3CDTF">2022-10-14T08:48:00Z</dcterms:created>
  <dcterms:modified xsi:type="dcterms:W3CDTF">2022-10-14T08:49:00Z</dcterms:modified>
</cp:coreProperties>
</file>